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FC" w:rsidRDefault="002235EE">
      <w:pPr>
        <w:pStyle w:val="printredaction-line"/>
        <w:spacing w:line="276" w:lineRule="auto"/>
        <w:divId w:val="317267745"/>
      </w:pPr>
      <w:r>
        <w:t>Актуально на 10 фев</w:t>
      </w:r>
      <w:r w:rsidR="00453D24">
        <w:t>раля</w:t>
      </w:r>
      <w:r>
        <w:t xml:space="preserve"> 2023</w:t>
      </w:r>
    </w:p>
    <w:p w:rsidR="008550FC" w:rsidRDefault="002235EE">
      <w:pPr>
        <w:pStyle w:val="2"/>
        <w:spacing w:line="276" w:lineRule="auto"/>
        <w:divId w:val="317267745"/>
        <w:rPr>
          <w:rFonts w:eastAsia="Times New Roman"/>
        </w:rPr>
      </w:pPr>
      <w:r>
        <w:rPr>
          <w:rFonts w:eastAsia="Times New Roman"/>
        </w:rPr>
        <w:t>Скорректировали ФГОС общего образования под ФОП</w:t>
      </w:r>
    </w:p>
    <w:p w:rsidR="0054037E" w:rsidRDefault="002235EE" w:rsidP="009E1177">
      <w:pPr>
        <w:spacing w:line="276" w:lineRule="auto"/>
        <w:divId w:val="281305838"/>
        <w:rPr>
          <w:rStyle w:val="a3"/>
          <w:rFonts w:eastAsia="Times New Roman"/>
        </w:rPr>
      </w:pPr>
      <w:proofErr w:type="spellStart"/>
      <w:r>
        <w:rPr>
          <w:rFonts w:eastAsia="Times New Roman"/>
        </w:rPr>
        <w:t>Минпросвещения</w:t>
      </w:r>
      <w:proofErr w:type="spellEnd"/>
      <w:r>
        <w:rPr>
          <w:rFonts w:eastAsia="Times New Roman"/>
        </w:rPr>
        <w:t xml:space="preserve"> </w:t>
      </w:r>
      <w:r w:rsidR="009E1177">
        <w:rPr>
          <w:rFonts w:eastAsia="Times New Roman"/>
        </w:rPr>
        <w:t xml:space="preserve"> России</w:t>
      </w:r>
      <w:bookmarkStart w:id="0" w:name="_GoBack"/>
      <w:bookmarkEnd w:id="0"/>
      <w:r w:rsidR="009E1177">
        <w:rPr>
          <w:rFonts w:eastAsia="Times New Roman"/>
        </w:rPr>
        <w:t xml:space="preserve"> </w:t>
      </w:r>
      <w:r>
        <w:rPr>
          <w:rFonts w:eastAsia="Times New Roman"/>
        </w:rPr>
        <w:t xml:space="preserve">утвердило </w:t>
      </w:r>
      <w:hyperlink r:id="rId4" w:anchor="/document/97/504143/" w:tgtFrame="_self" w:history="1">
        <w:r>
          <w:rPr>
            <w:rStyle w:val="a3"/>
            <w:rFonts w:eastAsia="Times New Roman"/>
          </w:rPr>
          <w:t xml:space="preserve">приказ, который вносит изменения во ФГОС ДО, </w:t>
        </w:r>
      </w:hyperlink>
    </w:p>
    <w:p w:rsidR="008550FC" w:rsidRDefault="002235EE" w:rsidP="0054037E">
      <w:pPr>
        <w:spacing w:line="276" w:lineRule="auto"/>
        <w:divId w:val="281305838"/>
        <w:rPr>
          <w:rFonts w:eastAsia="Times New Roman"/>
        </w:rPr>
      </w:pPr>
      <w:r>
        <w:rPr>
          <w:rFonts w:eastAsia="Times New Roman"/>
        </w:rPr>
        <w:t xml:space="preserve">Документ действует с 17.02.2023. </w:t>
      </w:r>
    </w:p>
    <w:p w:rsidR="008550FC" w:rsidRDefault="002235EE">
      <w:pPr>
        <w:pStyle w:val="a5"/>
        <w:spacing w:line="276" w:lineRule="auto"/>
        <w:divId w:val="1085373959"/>
      </w:pPr>
      <w:r>
        <w:t>Министерство решило поправить текст стандартов, чтобы не было множества разночтений между ними и федеральными программами. Ведь по ФОП надо разрабатывать ООП школы и детского сада уже с 2023 года. Например, удалили упоминания о примерных ООП. В таблице – перечень изменений по каждому ФГОС.</w:t>
      </w:r>
    </w:p>
    <w:tbl>
      <w:tblPr>
        <w:tblW w:w="523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49"/>
        <w:gridCol w:w="4063"/>
        <w:gridCol w:w="3760"/>
      </w:tblGrid>
      <w:tr w:rsidR="008550FC" w:rsidTr="002235EE">
        <w:trPr>
          <w:divId w:val="947811215"/>
          <w:tblHeader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Пункт ФГОС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Как стало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Как было</w:t>
            </w:r>
          </w:p>
        </w:tc>
      </w:tr>
      <w:tr w:rsidR="008550FC" w:rsidTr="002235EE">
        <w:trPr>
          <w:divId w:val="94781121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ФГОС ДО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Подп. 3 п. 6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Стандарт направлен на решение следующих задач:</w:t>
            </w:r>
            <w:r>
              <w:br/>
              <w:t>...</w:t>
            </w:r>
            <w:r>
              <w:br/>
      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- </w:t>
            </w:r>
            <w:r>
              <w:rPr>
                <w:rStyle w:val="a6"/>
              </w:rPr>
              <w:t>преемственность образовательных</w:t>
            </w:r>
            <w:r>
              <w:t xml:space="preserve"> программ дошкольного и начального общего образования)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Стандарт направлен на решение следующих задач:</w:t>
            </w:r>
            <w:r>
              <w:br/>
              <w:t>...</w:t>
            </w:r>
            <w:r>
              <w:br/>
      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</w:t>
            </w:r>
            <w:r>
              <w:rPr>
                <w:rStyle w:val="a6"/>
              </w:rPr>
              <w:t xml:space="preserve">основных </w:t>
            </w:r>
            <w:r>
              <w:t>образовательных программ дошкольного и начального общего образования)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П. 1.7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Стандарт является основой для:</w:t>
            </w:r>
          </w:p>
          <w:p w:rsidR="008550FC" w:rsidRDefault="002235EE">
            <w:pPr>
              <w:pStyle w:val="a5"/>
            </w:pPr>
            <w:r>
              <w:t xml:space="preserve">1) разработки </w:t>
            </w:r>
            <w:r>
              <w:rPr>
                <w:rStyle w:val="a6"/>
              </w:rPr>
              <w:t>федеральной образовательной программы дошкольного образования(далее - федеральная программа)</w:t>
            </w:r>
            <w:r>
              <w:t>;</w:t>
            </w:r>
            <w:r>
              <w:br/>
              <w:t>2) разработки Программы;</w:t>
            </w:r>
            <w:r>
              <w:br/>
      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Стандарт является основой для:</w:t>
            </w:r>
          </w:p>
          <w:p w:rsidR="008550FC" w:rsidRDefault="002235EE">
            <w:pPr>
              <w:pStyle w:val="a5"/>
            </w:pPr>
            <w:r>
              <w:t>1) разработки Программы;</w:t>
            </w:r>
            <w:r>
              <w:br/>
              <w:t xml:space="preserve">2) разработки </w:t>
            </w:r>
            <w:r>
              <w:rPr>
                <w:rStyle w:val="a6"/>
              </w:rPr>
              <w:t>вариативных примерных образовательных программ дошкольного образования (далее - примерные программы)</w:t>
            </w:r>
            <w:r>
              <w:t>;</w:t>
            </w:r>
            <w:r>
              <w:br/>
      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proofErr w:type="spellStart"/>
            <w:r>
              <w:t>Абз</w:t>
            </w:r>
            <w:proofErr w:type="spellEnd"/>
            <w:r>
              <w:t>. 1 п. 2.5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>
              <w:rPr>
                <w:rStyle w:val="a6"/>
              </w:rPr>
              <w:t>федеральной программой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>
              <w:rPr>
                <w:rStyle w:val="a6"/>
              </w:rPr>
              <w:t>с учетом Примерных программ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lastRenderedPageBreak/>
              <w:t>П. 2.6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Суть правок: подробнее расписали на что должны быть направлены образовательные области - социально-коммуникативное, познавательное, речевое, художественно-эстетическое и физическое развитие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Направленности образовательных областей были изложены более сжато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П. 2.7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Суть правок: детальнее описали возможные виды деятельности воспитанников в зависимости от возраста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Виды деятельности детей имели более общее описание и предусматривали сквозные механизмы развития – общение, игру, познавательно-исследовательскую деятельность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П. 2.10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Объем обязательной части Программы </w:t>
            </w:r>
            <w:r>
              <w:rPr>
                <w:rStyle w:val="a6"/>
              </w:rPr>
              <w:t xml:space="preserve">должен соответствовать федеральной программе и быть </w:t>
            </w:r>
            <w:r>
              <w:t xml:space="preserve">не менее 60% от общего объема Программы; части, формируемой участниками образовательных отношений, не более 40%. </w:t>
            </w:r>
            <w:r>
              <w:rPr>
                <w:rStyle w:val="a6"/>
              </w:rPr>
              <w:t>Содержание и планируемые результаты Программы должны быть не ниже соответствующих содержания и планируемых результатов федеральной программы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Объем обязательной части Программы </w:t>
            </w:r>
            <w:r>
              <w:rPr>
                <w:rStyle w:val="a6"/>
              </w:rPr>
              <w:t>рекомендуется</w:t>
            </w:r>
            <w:r>
              <w:t xml:space="preserve"> не менее 60% от ее общего объема; части, формируемой участниками образовательных отношений, не более 40%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proofErr w:type="spellStart"/>
            <w:r>
              <w:t>Абз</w:t>
            </w:r>
            <w:proofErr w:type="spellEnd"/>
            <w:r>
              <w:t>. 3 п. 2.11.2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Содержательный раздел Программы должен включать:</w:t>
            </w:r>
          </w:p>
          <w:p w:rsidR="008550FC" w:rsidRDefault="002235EE">
            <w:pPr>
              <w:pStyle w:val="a5"/>
            </w:pPr>
            <w:r>
              <w:t xml:space="preserve">а) описание образовательной деятельности в соответствии с направлениями развития ребенка, представленными в пяти образовательных областях, </w:t>
            </w:r>
            <w:r>
              <w:rPr>
                <w:rStyle w:val="a6"/>
              </w:rPr>
              <w:t>федеральной программой</w:t>
            </w:r>
            <w:r>
              <w:t xml:space="preserve"> и с учетом используемых методических пособий, обеспечивающих реализацию данного содержания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Содержательный раздел Программы должен включать:</w:t>
            </w:r>
          </w:p>
          <w:p w:rsidR="008550FC" w:rsidRDefault="002235EE">
            <w:pPr>
              <w:pStyle w:val="a5"/>
            </w:pPr>
            <w:r>
              <w:t xml:space="preserve"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</w:t>
            </w:r>
            <w:r>
              <w:rPr>
                <w:rStyle w:val="a6"/>
              </w:rPr>
              <w:t xml:space="preserve">вариативных примерных основных образовательных программ дошкольного </w:t>
            </w:r>
            <w:proofErr w:type="spellStart"/>
            <w:r>
              <w:rPr>
                <w:rStyle w:val="a6"/>
              </w:rPr>
              <w:t>образованияи</w:t>
            </w:r>
            <w:proofErr w:type="spellEnd"/>
            <w:r>
              <w:t xml:space="preserve"> методических пособий, обеспечивающих реализацию данного содержания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proofErr w:type="spellStart"/>
            <w:r>
              <w:t>Абз</w:t>
            </w:r>
            <w:proofErr w:type="spellEnd"/>
            <w:r>
              <w:t>. 1 п. 2.12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Обязательная часть Программы </w:t>
            </w:r>
            <w:r>
              <w:rPr>
                <w:rStyle w:val="a6"/>
              </w:rPr>
              <w:t xml:space="preserve">должна соответствовать федеральной программе и </w:t>
            </w:r>
            <w:r>
              <w:t>оформляется в виде ссылки на</w:t>
            </w:r>
            <w:r>
              <w:rPr>
                <w:rStyle w:val="a6"/>
              </w:rPr>
              <w:t xml:space="preserve"> нее. Содержание и планируемые результаты Программы должны </w:t>
            </w:r>
            <w:r>
              <w:rPr>
                <w:rStyle w:val="a6"/>
              </w:rPr>
              <w:lastRenderedPageBreak/>
              <w:t>быть не ниже соответствующих содержания и планируемых результатов федеральной программы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rPr>
                <w:rStyle w:val="a6"/>
              </w:rPr>
              <w:lastRenderedPageBreak/>
              <w:t>В случае если</w:t>
            </w:r>
            <w:r>
              <w:t xml:space="preserve"> обязательная часть Программы </w:t>
            </w:r>
            <w:r>
              <w:rPr>
                <w:rStyle w:val="a6"/>
              </w:rPr>
              <w:t>соответствует примерной программе, она</w:t>
            </w:r>
            <w:r>
              <w:t xml:space="preserve"> оформляется в виде ссылки на </w:t>
            </w:r>
            <w:r>
              <w:rPr>
                <w:rStyle w:val="a6"/>
              </w:rPr>
              <w:t xml:space="preserve">соответствующую примерную программу. Обязательная </w:t>
            </w:r>
            <w:r>
              <w:rPr>
                <w:rStyle w:val="a6"/>
              </w:rPr>
              <w:lastRenderedPageBreak/>
              <w:t>часть должна быть представлена развернуто в соответствии с пунктом 2.11 Стандарта, в случае если она не соответствует одной из примерных программ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proofErr w:type="spellStart"/>
            <w:r>
              <w:lastRenderedPageBreak/>
              <w:t>Абз</w:t>
            </w:r>
            <w:proofErr w:type="spellEnd"/>
            <w:r>
              <w:t>. 4 п. 2.13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В краткой презентации Программы должны быть указаны:</w:t>
            </w:r>
            <w:r>
              <w:br/>
              <w:t>…</w:t>
            </w:r>
            <w:r>
              <w:br/>
              <w:t xml:space="preserve">2) </w:t>
            </w:r>
            <w:r>
              <w:rPr>
                <w:rStyle w:val="a6"/>
              </w:rPr>
              <w:t>ссылка на федеральную программу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В краткой презентации Программы должны быть указаны:</w:t>
            </w:r>
            <w:r>
              <w:br/>
              <w:t>…</w:t>
            </w:r>
            <w:r>
              <w:br/>
              <w:t xml:space="preserve">2) </w:t>
            </w:r>
            <w:r>
              <w:rPr>
                <w:rStyle w:val="a6"/>
              </w:rPr>
              <w:t>используемые Примерные программы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Глава III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условиям </w:t>
            </w:r>
            <w:r>
              <w:rPr>
                <w:rStyle w:val="a6"/>
              </w:rPr>
              <w:t>реализации образовательной</w:t>
            </w:r>
            <w:r>
              <w:t xml:space="preserve"> программы дошкольного образования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условиям реализации </w:t>
            </w:r>
            <w:r>
              <w:rPr>
                <w:rStyle w:val="a6"/>
              </w:rPr>
              <w:t>основной</w:t>
            </w:r>
            <w:r>
              <w:t xml:space="preserve"> образовательной программы дошкольного образования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П. 3.2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психолого-педагогическим условиям реализации </w:t>
            </w:r>
            <w:r>
              <w:rPr>
                <w:rStyle w:val="a6"/>
              </w:rPr>
              <w:t>Программы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психолого-педагогическим условиям реализации </w:t>
            </w:r>
            <w:r>
              <w:rPr>
                <w:rStyle w:val="a6"/>
              </w:rPr>
              <w:t>основной образовательной программы дошкольного образования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П. 3.2.9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Суть правок: заменили старый СанПиН детского сада на СанПиН 1.2.3685-21 и СП 2.4.3648-20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Упоминался старый СанПиН 2.4.1.3049-13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П. 3.5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материально-техническим условиям реализации </w:t>
            </w:r>
            <w:r>
              <w:rPr>
                <w:rStyle w:val="a6"/>
              </w:rPr>
              <w:t>Программы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материально-техническим условиям реализации </w:t>
            </w:r>
            <w:r>
              <w:rPr>
                <w:rStyle w:val="a6"/>
              </w:rPr>
              <w:t>основной образовательной программы дошкольного образования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П. 3.6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финансовым условиям реализации </w:t>
            </w:r>
            <w:r>
              <w:rPr>
                <w:rStyle w:val="a6"/>
              </w:rPr>
              <w:t>Программы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финансовым условиям реализации </w:t>
            </w:r>
            <w:r>
              <w:rPr>
                <w:rStyle w:val="a6"/>
              </w:rPr>
              <w:t>основной образовательной программы дошкольного образования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Глава IV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результатам </w:t>
            </w:r>
            <w:r>
              <w:rPr>
                <w:rStyle w:val="a6"/>
              </w:rPr>
              <w:t>освоения образовательной</w:t>
            </w:r>
            <w:r>
              <w:t xml:space="preserve"> программы дошкольного образования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 xml:space="preserve">Требования к результатам освоения </w:t>
            </w:r>
            <w:r>
              <w:rPr>
                <w:rStyle w:val="a6"/>
              </w:rPr>
              <w:t xml:space="preserve">основной </w:t>
            </w:r>
            <w:r>
              <w:t>образовательной программы дошкольного образования</w:t>
            </w:r>
          </w:p>
        </w:tc>
      </w:tr>
      <w:tr w:rsidR="008550FC" w:rsidTr="002235EE">
        <w:trPr>
          <w:divId w:val="947811215"/>
        </w:trPr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П. 4.6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Суть правок: детальнее изложили целевые ориентиры дошкольного образования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0FC" w:rsidRDefault="002235EE">
            <w:pPr>
              <w:pStyle w:val="a5"/>
            </w:pPr>
            <w:r>
              <w:t>Целевые ориентиры были более общими. Одинаковыми были ориентиры образования в младенческом и раннем возрасте</w:t>
            </w:r>
          </w:p>
        </w:tc>
      </w:tr>
    </w:tbl>
    <w:p w:rsidR="0054037E" w:rsidRDefault="0054037E">
      <w:pPr>
        <w:spacing w:line="276" w:lineRule="auto"/>
        <w:divId w:val="1414089128"/>
        <w:rPr>
          <w:rFonts w:ascii="Arial" w:eastAsia="Times New Roman" w:hAnsi="Arial" w:cs="Arial"/>
          <w:sz w:val="20"/>
          <w:szCs w:val="20"/>
        </w:rPr>
      </w:pPr>
    </w:p>
    <w:p w:rsidR="008550FC" w:rsidRDefault="002235EE">
      <w:pPr>
        <w:spacing w:line="276" w:lineRule="auto"/>
        <w:divId w:val="141408912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https://plus.1obraz.ru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10.02.2023</w:t>
      </w:r>
    </w:p>
    <w:sectPr w:rsidR="0085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EE"/>
    <w:rsid w:val="002235EE"/>
    <w:rsid w:val="0035051D"/>
    <w:rsid w:val="00453D24"/>
    <w:rsid w:val="0054037E"/>
    <w:rsid w:val="008550FC"/>
    <w:rsid w:val="00951A85"/>
    <w:rsid w:val="00957A13"/>
    <w:rsid w:val="009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0D003-8BAD-47D2-9D2B-EA5A4171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774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95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912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us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Савицких Марина Борисовна</dc:creator>
  <cp:keywords/>
  <dc:description/>
  <cp:lastModifiedBy>Алешин</cp:lastModifiedBy>
  <cp:revision>3</cp:revision>
  <dcterms:created xsi:type="dcterms:W3CDTF">2023-06-09T12:10:00Z</dcterms:created>
  <dcterms:modified xsi:type="dcterms:W3CDTF">2023-06-09T12:30:00Z</dcterms:modified>
</cp:coreProperties>
</file>